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29DD2E54" w14:textId="536D64C7" w:rsidR="00DE76FF" w:rsidRDefault="00AC5E1F" w:rsidP="00134A89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  <w:r w:rsidR="00E67835">
        <w:rPr>
          <w:rFonts w:ascii="Georgia" w:eastAsia="Calibri" w:hAnsi="Georgia" w:cs="Calibri"/>
          <w:sz w:val="20"/>
          <w:szCs w:val="20"/>
        </w:rPr>
        <w:t xml:space="preserve"> </w:t>
      </w:r>
    </w:p>
    <w:p w14:paraId="26C015F0" w14:textId="204E5D58" w:rsidR="00134A89" w:rsidRPr="00DE76FF" w:rsidRDefault="00134A89" w:rsidP="00134A89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134A89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DA CONCLUDERSI CON PIÙ OPERATORI ECONOMICI PER L'AFFIDAMENTO DI SERVIZI DI CATERING</w:t>
      </w:r>
      <w:r w:rsidR="00FA55D2">
        <w:rPr>
          <w:rFonts w:ascii="Georgia" w:eastAsia="Calibri" w:hAnsi="Georgia" w:cs="Calibri"/>
          <w:sz w:val="20"/>
          <w:szCs w:val="20"/>
        </w:rPr>
        <w:t xml:space="preserve"> – CIG </w:t>
      </w:r>
      <w:r w:rsidR="00FA55D2" w:rsidRPr="00FA55D2">
        <w:rPr>
          <w:rFonts w:ascii="Georgia" w:eastAsia="Calibri" w:hAnsi="Georgia" w:cs="Calibri"/>
          <w:sz w:val="20"/>
          <w:szCs w:val="20"/>
        </w:rPr>
        <w:t>B27C53805F</w:t>
      </w:r>
    </w:p>
    <w:p w14:paraId="76E7A71D" w14:textId="3C64FE4D" w:rsidR="00805198" w:rsidRPr="00167D7F" w:rsidRDefault="00AC5E1F" w:rsidP="00AE018C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3545CDFC" w14:textId="1A0588A7" w:rsidR="00E67835" w:rsidRPr="00E67835" w:rsidRDefault="00076C1A" w:rsidP="0048480B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134A89" w:rsidRPr="00134A89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DA CONCLUDERSI CON PIÙ OPERATORI ECONOMICI PER L'AFFIDAMENTO DI SERVIZI DI CATERING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</w:t>
      </w:r>
      <w:r w:rsidRPr="005837E7">
        <w:rPr>
          <w:rFonts w:ascii="Georgia" w:hAnsi="Georgia"/>
          <w:sz w:val="20"/>
          <w:szCs w:val="20"/>
        </w:rPr>
        <w:lastRenderedPageBreak/>
        <w:t>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 xml:space="preserve">materia di sicurezza, </w:t>
      </w:r>
      <w:r w:rsidRPr="00916F0E">
        <w:rPr>
          <w:rFonts w:ascii="Georgia" w:hAnsi="Georgia"/>
          <w:sz w:val="20"/>
          <w:szCs w:val="20"/>
        </w:rPr>
        <w:lastRenderedPageBreak/>
        <w:t>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FA55D2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34A89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8480B"/>
    <w:rsid w:val="004B47E9"/>
    <w:rsid w:val="004B6889"/>
    <w:rsid w:val="004D0241"/>
    <w:rsid w:val="004D318F"/>
    <w:rsid w:val="004E4B00"/>
    <w:rsid w:val="00501B0E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9F5596"/>
    <w:rsid w:val="00A25496"/>
    <w:rsid w:val="00A6042A"/>
    <w:rsid w:val="00A66DD0"/>
    <w:rsid w:val="00A74CEF"/>
    <w:rsid w:val="00A851FA"/>
    <w:rsid w:val="00AB170F"/>
    <w:rsid w:val="00AC5239"/>
    <w:rsid w:val="00AC5E1F"/>
    <w:rsid w:val="00AE018C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DE76FF"/>
    <w:rsid w:val="00E67835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A55D2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51</cp:revision>
  <dcterms:created xsi:type="dcterms:W3CDTF">2023-08-22T12:05:00Z</dcterms:created>
  <dcterms:modified xsi:type="dcterms:W3CDTF">2024-07-16T15:25:00Z</dcterms:modified>
</cp:coreProperties>
</file>